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1131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720EF0" w:rsidTr="00A119B9">
        <w:trPr>
          <w:trHeight w:val="426"/>
        </w:trPr>
        <w:tc>
          <w:tcPr>
            <w:tcW w:w="4748" w:type="dxa"/>
            <w:vAlign w:val="center"/>
          </w:tcPr>
          <w:p w:rsidR="00720EF0" w:rsidRDefault="00720EF0">
            <w:pPr>
              <w:pStyle w:val="FootnoteText"/>
              <w:tabs>
                <w:tab w:val="left" w:pos="1021"/>
                <w:tab w:val="left" w:pos="8080"/>
              </w:tabs>
              <w:rPr>
                <w:sz w:val="24"/>
              </w:rPr>
            </w:pPr>
            <w:bookmarkStart w:id="0" w:name="_GoBack"/>
            <w:bookmarkEnd w:id="0"/>
          </w:p>
        </w:tc>
      </w:tr>
      <w:tr w:rsidR="00720EF0" w:rsidTr="00A119B9">
        <w:trPr>
          <w:trHeight w:val="690"/>
        </w:trPr>
        <w:tc>
          <w:tcPr>
            <w:tcW w:w="4748" w:type="dxa"/>
          </w:tcPr>
          <w:p w:rsidR="00D427D3" w:rsidRPr="008F252F" w:rsidRDefault="00D427D3">
            <w:pPr>
              <w:pStyle w:val="FootnoteText"/>
              <w:tabs>
                <w:tab w:val="left" w:pos="1021"/>
                <w:tab w:val="left" w:pos="8080"/>
              </w:tabs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</w:pPr>
            <w:r w:rsidRPr="008F252F"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 xml:space="preserve">MINISTERIO </w:t>
            </w:r>
          </w:p>
          <w:p w:rsidR="00555C65" w:rsidRDefault="00D427D3" w:rsidP="00555C65">
            <w:pPr>
              <w:pStyle w:val="FootnoteText"/>
              <w:tabs>
                <w:tab w:val="left" w:pos="1021"/>
                <w:tab w:val="left" w:pos="8080"/>
              </w:tabs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</w:pPr>
            <w:r w:rsidRPr="008F252F"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 xml:space="preserve">DE </w:t>
            </w:r>
            <w:r w:rsidR="00B92FA9"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>IGUALDAD</w:t>
            </w:r>
          </w:p>
          <w:p w:rsidR="00720EF0" w:rsidRPr="008F252F" w:rsidRDefault="00720EF0" w:rsidP="00B92FA9">
            <w:pPr>
              <w:pStyle w:val="FootnoteText"/>
              <w:tabs>
                <w:tab w:val="left" w:pos="1021"/>
                <w:tab w:val="left" w:pos="8080"/>
              </w:tabs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</w:pPr>
          </w:p>
        </w:tc>
      </w:tr>
      <w:tr w:rsidR="00720EF0" w:rsidTr="00A119B9">
        <w:tc>
          <w:tcPr>
            <w:tcW w:w="4748" w:type="dxa"/>
          </w:tcPr>
          <w:p w:rsidR="00720EF0" w:rsidRDefault="00720EF0">
            <w:pPr>
              <w:pStyle w:val="FootnoteText"/>
              <w:tabs>
                <w:tab w:val="left" w:pos="1021"/>
                <w:tab w:val="left" w:pos="8080"/>
              </w:tabs>
              <w:rPr>
                <w:sz w:val="24"/>
              </w:rPr>
            </w:pPr>
          </w:p>
        </w:tc>
      </w:tr>
    </w:tbl>
    <w:p w:rsidR="00CC3FF7" w:rsidRPr="00CC3FF7" w:rsidRDefault="00CC3FF7" w:rsidP="00CC3FF7">
      <w:pPr>
        <w:rPr>
          <w:vanish/>
        </w:rPr>
      </w:pPr>
    </w:p>
    <w:tbl>
      <w:tblPr>
        <w:tblpPr w:leftFromText="142" w:rightFromText="142" w:vertAnchor="text" w:horzAnchor="margin" w:tblpXSpec="right" w:tblpY="1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0"/>
        <w:gridCol w:w="2497"/>
      </w:tblGrid>
      <w:tr w:rsidR="00720EF0" w:rsidTr="00B92FA9">
        <w:trPr>
          <w:trHeight w:val="610"/>
        </w:trPr>
        <w:tc>
          <w:tcPr>
            <w:tcW w:w="1843" w:type="dxa"/>
          </w:tcPr>
          <w:p w:rsidR="00720EF0" w:rsidRDefault="00720EF0">
            <w:pPr>
              <w:pStyle w:val="FootnoteText"/>
              <w:tabs>
                <w:tab w:val="left" w:pos="1021"/>
                <w:tab w:val="left" w:pos="8080"/>
              </w:tabs>
              <w:jc w:val="right"/>
              <w:rPr>
                <w:rFonts w:ascii="Gill Sans MT" w:hAnsi="Gill Sans MT"/>
                <w:sz w:val="14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</w:tcPr>
          <w:p w:rsidR="00720EF0" w:rsidRDefault="00720EF0">
            <w:pPr>
              <w:pStyle w:val="FootnoteText"/>
              <w:tabs>
                <w:tab w:val="left" w:pos="1021"/>
                <w:tab w:val="left" w:pos="8080"/>
              </w:tabs>
              <w:jc w:val="right"/>
              <w:rPr>
                <w:rFonts w:ascii="Gill Sans MT" w:hAnsi="Gill Sans MT"/>
                <w:sz w:val="1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92FA9" w:rsidRDefault="00ED303F" w:rsidP="00B92FA9">
            <w:pPr>
              <w:pStyle w:val="FootnoteText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MINISTERIO DE IGUALDAD</w:t>
            </w:r>
          </w:p>
        </w:tc>
      </w:tr>
      <w:tr w:rsidR="00720EF0" w:rsidTr="00B92FA9">
        <w:trPr>
          <w:trHeight w:hRule="exact" w:val="61"/>
        </w:trPr>
        <w:tc>
          <w:tcPr>
            <w:tcW w:w="1843" w:type="dxa"/>
          </w:tcPr>
          <w:p w:rsidR="00720EF0" w:rsidRDefault="00720EF0">
            <w:pPr>
              <w:pStyle w:val="FootnoteText"/>
              <w:tabs>
                <w:tab w:val="left" w:pos="1021"/>
                <w:tab w:val="left" w:pos="8080"/>
              </w:tabs>
              <w:jc w:val="right"/>
              <w:rPr>
                <w:rFonts w:ascii="Gill Sans MT" w:hAnsi="Gill Sans MT"/>
                <w:sz w:val="14"/>
              </w:rPr>
            </w:pPr>
          </w:p>
        </w:tc>
        <w:tc>
          <w:tcPr>
            <w:tcW w:w="20" w:type="dxa"/>
          </w:tcPr>
          <w:p w:rsidR="00720EF0" w:rsidRDefault="00720EF0">
            <w:pPr>
              <w:pStyle w:val="FootnoteText"/>
              <w:tabs>
                <w:tab w:val="left" w:pos="1021"/>
                <w:tab w:val="left" w:pos="8080"/>
              </w:tabs>
              <w:jc w:val="right"/>
              <w:rPr>
                <w:rFonts w:ascii="Gill Sans MT" w:hAnsi="Gill Sans MT"/>
                <w:sz w:val="14"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720EF0" w:rsidRDefault="00720EF0">
            <w:pPr>
              <w:pStyle w:val="FootnoteText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sz w:val="14"/>
              </w:rPr>
            </w:pPr>
          </w:p>
        </w:tc>
      </w:tr>
      <w:tr w:rsidR="00720EF0" w:rsidTr="00B92FA9">
        <w:trPr>
          <w:trHeight w:val="226"/>
        </w:trPr>
        <w:tc>
          <w:tcPr>
            <w:tcW w:w="1843" w:type="dxa"/>
            <w:tcMar>
              <w:top w:w="57" w:type="dxa"/>
              <w:left w:w="57" w:type="dxa"/>
              <w:bottom w:w="57" w:type="dxa"/>
            </w:tcMar>
          </w:tcPr>
          <w:p w:rsidR="00720EF0" w:rsidRDefault="00720EF0">
            <w:pPr>
              <w:pStyle w:val="FootnoteText"/>
              <w:tabs>
                <w:tab w:val="left" w:pos="1021"/>
                <w:tab w:val="left" w:pos="8080"/>
              </w:tabs>
              <w:jc w:val="right"/>
              <w:rPr>
                <w:rFonts w:ascii="Gill Sans MT" w:hAnsi="Gill Sans MT"/>
                <w:sz w:val="14"/>
              </w:rPr>
            </w:pPr>
          </w:p>
        </w:tc>
        <w:tc>
          <w:tcPr>
            <w:tcW w:w="20" w:type="dxa"/>
          </w:tcPr>
          <w:p w:rsidR="00720EF0" w:rsidRDefault="00720EF0">
            <w:pPr>
              <w:pStyle w:val="FootnoteText"/>
              <w:tabs>
                <w:tab w:val="left" w:pos="1021"/>
                <w:tab w:val="left" w:pos="8080"/>
              </w:tabs>
              <w:jc w:val="right"/>
              <w:rPr>
                <w:rFonts w:ascii="Gill Sans MT" w:hAnsi="Gill Sans MT"/>
                <w:sz w:val="14"/>
              </w:rPr>
            </w:pPr>
          </w:p>
        </w:tc>
        <w:tc>
          <w:tcPr>
            <w:tcW w:w="2497" w:type="dxa"/>
            <w:tcMar>
              <w:top w:w="57" w:type="dxa"/>
              <w:left w:w="57" w:type="dxa"/>
              <w:bottom w:w="57" w:type="dxa"/>
            </w:tcMar>
          </w:tcPr>
          <w:p w:rsidR="00DE3D07" w:rsidRDefault="004B5203">
            <w:pPr>
              <w:pStyle w:val="FootnoteText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GABINETE</w:t>
            </w:r>
            <w:r w:rsidR="00ED303F">
              <w:rPr>
                <w:rFonts w:ascii="Gill Sans MT" w:hAnsi="Gill Sans MT"/>
                <w:sz w:val="14"/>
              </w:rPr>
              <w:t xml:space="preserve"> DE LA MINISTRA</w:t>
            </w:r>
          </w:p>
          <w:p w:rsidR="00720EF0" w:rsidRDefault="00DE3D07">
            <w:pPr>
              <w:pStyle w:val="FootnoteText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 xml:space="preserve"> Relaciones Internacionales</w:t>
            </w:r>
          </w:p>
        </w:tc>
      </w:tr>
    </w:tbl>
    <w:p w:rsidR="00720EF0" w:rsidRDefault="00B92FA9">
      <w:pPr>
        <w:pStyle w:val="FootnoteText"/>
        <w:tabs>
          <w:tab w:val="left" w:pos="1021"/>
          <w:tab w:val="left" w:pos="8080"/>
        </w:tabs>
        <w:ind w:left="-284"/>
        <w:rPr>
          <w:sz w:val="24"/>
        </w:rPr>
      </w:pPr>
      <w:r>
        <w:rPr>
          <w:noProof/>
          <w:lang w:val="en-GB" w:eastAsia="en-GB"/>
        </w:rPr>
        <w:drawing>
          <wp:inline distT="0" distB="0" distL="0" distR="0">
            <wp:extent cx="838200" cy="876300"/>
            <wp:effectExtent l="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EF0" w:rsidRDefault="00720EF0">
      <w:pPr>
        <w:pStyle w:val="Heading3"/>
        <w:rPr>
          <w:b w:val="0"/>
          <w:color w:val="auto"/>
          <w:spacing w:val="324"/>
          <w:sz w:val="16"/>
          <w:lang w:val="fr-FR"/>
        </w:rPr>
      </w:pPr>
    </w:p>
    <w:tbl>
      <w:tblPr>
        <w:tblW w:w="95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1"/>
      </w:tblGrid>
      <w:tr w:rsidR="00720EF0">
        <w:tc>
          <w:tcPr>
            <w:tcW w:w="9551" w:type="dxa"/>
          </w:tcPr>
          <w:p w:rsidR="00720EF0" w:rsidRDefault="00720EF0">
            <w:pPr>
              <w:tabs>
                <w:tab w:val="left" w:pos="1134"/>
              </w:tabs>
              <w:spacing w:line="240" w:lineRule="atLeast"/>
              <w:rPr>
                <w:b/>
                <w:spacing w:val="324"/>
                <w:sz w:val="16"/>
                <w:lang w:val="fr-FR"/>
              </w:rPr>
            </w:pPr>
          </w:p>
        </w:tc>
      </w:tr>
    </w:tbl>
    <w:p w:rsidR="00720EF0" w:rsidRDefault="00720EF0">
      <w:pPr>
        <w:pStyle w:val="Heading3"/>
        <w:rPr>
          <w:sz w:val="24"/>
          <w:lang w:val="es-ES"/>
        </w:rPr>
        <w:sectPr w:rsidR="00720E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992" w:right="567" w:bottom="255" w:left="794" w:header="567" w:footer="1010" w:gutter="0"/>
          <w:cols w:space="720" w:equalWidth="0">
            <w:col w:w="9411"/>
          </w:cols>
          <w:titlePg/>
        </w:sectPr>
      </w:pPr>
      <w:r>
        <w:fldChar w:fldCharType="begin">
          <w:ffData>
            <w:name w:val="Texto18"/>
            <w:enabled w:val="0"/>
            <w:calcOnExit w:val="0"/>
            <w:textInput/>
          </w:ffData>
        </w:fldChar>
      </w:r>
      <w:bookmarkStart w:id="1" w:name="Texto18"/>
      <w:r>
        <w:instrText xml:space="preserve"> FORMTEXT </w:instrText>
      </w:r>
      <w:r>
        <w:fldChar w:fldCharType="separate"/>
      </w:r>
      <w:r w:rsidR="00D427D3">
        <w:rPr>
          <w:noProof/>
        </w:rPr>
        <w:t> </w:t>
      </w:r>
      <w:r w:rsidR="00D427D3">
        <w:rPr>
          <w:noProof/>
        </w:rPr>
        <w:t> </w:t>
      </w:r>
      <w:r w:rsidR="00D427D3">
        <w:rPr>
          <w:noProof/>
        </w:rPr>
        <w:t> </w:t>
      </w:r>
      <w:r w:rsidR="00D427D3">
        <w:rPr>
          <w:noProof/>
        </w:rPr>
        <w:t> </w:t>
      </w:r>
      <w:r w:rsidR="00D427D3">
        <w:rPr>
          <w:noProof/>
        </w:rPr>
        <w:t> </w:t>
      </w:r>
      <w:r>
        <w:fldChar w:fldCharType="end"/>
      </w:r>
      <w:bookmarkEnd w:id="1"/>
    </w:p>
    <w:p w:rsidR="001D397E" w:rsidRDefault="001D397E" w:rsidP="00C82A0A">
      <w:pPr>
        <w:pStyle w:val="FootnoteText"/>
        <w:tabs>
          <w:tab w:val="left" w:pos="-2552"/>
        </w:tabs>
        <w:rPr>
          <w:rFonts w:asciiTheme="minorHAnsi" w:hAnsiTheme="minorHAnsi" w:cs="Arial"/>
          <w:bCs/>
          <w:sz w:val="22"/>
          <w:lang w:val="es-ES"/>
        </w:rPr>
      </w:pPr>
    </w:p>
    <w:p w:rsidR="00C82A0A" w:rsidRPr="00800909" w:rsidRDefault="00C82A0A" w:rsidP="00C82A0A">
      <w:pPr>
        <w:pStyle w:val="FootnoteText"/>
        <w:tabs>
          <w:tab w:val="left" w:pos="-2552"/>
        </w:tabs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 w:rsidRPr="00800909">
        <w:rPr>
          <w:rFonts w:asciiTheme="minorHAnsi" w:hAnsiTheme="minorHAnsi" w:cs="Arial"/>
          <w:b/>
          <w:sz w:val="22"/>
          <w:szCs w:val="22"/>
          <w:lang w:val="en-US"/>
        </w:rPr>
        <w:t>Spain:</w:t>
      </w:r>
    </w:p>
    <w:p w:rsidR="00C82A0A" w:rsidRPr="00800909" w:rsidRDefault="00C82A0A" w:rsidP="00C82A0A">
      <w:pPr>
        <w:pStyle w:val="FootnoteText"/>
        <w:tabs>
          <w:tab w:val="left" w:pos="-2552"/>
        </w:tabs>
        <w:jc w:val="both"/>
        <w:rPr>
          <w:rFonts w:asciiTheme="minorHAnsi" w:hAnsiTheme="minorHAnsi" w:cs="Arial"/>
          <w:b/>
          <w:color w:val="943634" w:themeColor="accent2" w:themeShade="BF"/>
          <w:sz w:val="22"/>
          <w:szCs w:val="22"/>
          <w:lang w:val="en-US"/>
        </w:rPr>
      </w:pPr>
    </w:p>
    <w:p w:rsidR="00C82A0A" w:rsidRPr="00800909" w:rsidRDefault="00C82A0A" w:rsidP="00C82A0A">
      <w:pPr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800909">
        <w:rPr>
          <w:rFonts w:ascii="Calibri" w:eastAsia="Calibri" w:hAnsi="Calibri"/>
          <w:sz w:val="22"/>
          <w:szCs w:val="22"/>
          <w:lang w:val="en-US" w:eastAsia="en-US"/>
        </w:rPr>
        <w:t>In order to achieve gender equality in the European Union, the Spanish Presidency of the Council will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Pr="00800909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strive towards a </w:t>
      </w:r>
      <w:r w:rsidRPr="00B225CF">
        <w:rPr>
          <w:rFonts w:ascii="Calibri" w:eastAsia="Calibri" w:hAnsi="Calibri"/>
          <w:b/>
          <w:sz w:val="22"/>
          <w:szCs w:val="22"/>
          <w:lang w:val="en-US" w:eastAsia="en-US"/>
        </w:rPr>
        <w:t>Feminist Europe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which places women and girls at the center of the European project </w:t>
      </w:r>
      <w:r w:rsidRPr="00641E24">
        <w:rPr>
          <w:rFonts w:ascii="Calibri" w:eastAsia="Calibri" w:hAnsi="Calibri"/>
          <w:sz w:val="22"/>
          <w:szCs w:val="22"/>
          <w:lang w:val="en-US" w:eastAsia="en-US"/>
        </w:rPr>
        <w:t>and will also advance in the recognition of the rights of trans and LGBTI people, which we understand as feminist rights</w:t>
      </w:r>
      <w:r w:rsidRPr="00B1458E">
        <w:rPr>
          <w:rFonts w:ascii="Calibri" w:eastAsia="Calibri" w:hAnsi="Calibri"/>
          <w:sz w:val="22"/>
          <w:szCs w:val="22"/>
          <w:lang w:val="en-US" w:eastAsia="en-US"/>
        </w:rPr>
        <w:t>. Therefore, we will focus in the three following priorities:</w:t>
      </w:r>
    </w:p>
    <w:p w:rsidR="00C82A0A" w:rsidRPr="00800909" w:rsidRDefault="00C82A0A" w:rsidP="00C82A0A">
      <w:pPr>
        <w:jc w:val="both"/>
        <w:rPr>
          <w:rFonts w:ascii="Calibri" w:eastAsia="Calibri" w:hAnsi="Calibri"/>
          <w:sz w:val="22"/>
          <w:szCs w:val="22"/>
          <w:lang w:val="en-US" w:eastAsia="en-US"/>
        </w:rPr>
      </w:pPr>
    </w:p>
    <w:p w:rsidR="00C82A0A" w:rsidRPr="00800909" w:rsidRDefault="00C82A0A" w:rsidP="00C82A0A">
      <w:pPr>
        <w:jc w:val="both"/>
        <w:rPr>
          <w:rFonts w:ascii="Calibri" w:eastAsia="Calibri" w:hAnsi="Calibri"/>
          <w:b/>
          <w:sz w:val="22"/>
          <w:szCs w:val="22"/>
          <w:lang w:val="en-US" w:eastAsia="en-US"/>
        </w:rPr>
      </w:pPr>
      <w:r>
        <w:rPr>
          <w:rFonts w:ascii="Calibri" w:eastAsia="Calibri" w:hAnsi="Calibri"/>
          <w:b/>
          <w:sz w:val="22"/>
          <w:szCs w:val="22"/>
          <w:lang w:val="en-US" w:eastAsia="en-US"/>
        </w:rPr>
        <w:t>C</w:t>
      </w:r>
      <w:r w:rsidRPr="00800909">
        <w:rPr>
          <w:rFonts w:ascii="Calibri" w:eastAsia="Calibri" w:hAnsi="Calibri"/>
          <w:b/>
          <w:sz w:val="22"/>
          <w:szCs w:val="22"/>
          <w:lang w:val="en-US" w:eastAsia="en-US"/>
        </w:rPr>
        <w:t xml:space="preserve">ombating all forms of violence against women </w:t>
      </w:r>
    </w:p>
    <w:p w:rsidR="00C82A0A" w:rsidRPr="00800909" w:rsidRDefault="00C82A0A" w:rsidP="00C82A0A">
      <w:pPr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800909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</w:p>
    <w:p w:rsidR="00C82A0A" w:rsidRPr="00800909" w:rsidRDefault="00C82A0A" w:rsidP="00C82A0A">
      <w:pPr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We will combat</w:t>
      </w:r>
      <w:r w:rsidRPr="00800909">
        <w:rPr>
          <w:rFonts w:ascii="Calibri" w:eastAsia="Calibri" w:hAnsi="Calibri"/>
          <w:sz w:val="22"/>
          <w:szCs w:val="22"/>
          <w:lang w:val="en-US" w:eastAsia="en-US"/>
        </w:rPr>
        <w:t xml:space="preserve"> all forms of violence against women and girls, guaranteeing 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the </w:t>
      </w:r>
      <w:r w:rsidRPr="00800909">
        <w:rPr>
          <w:rFonts w:ascii="Calibri" w:eastAsia="Calibri" w:hAnsi="Calibri"/>
          <w:sz w:val="22"/>
          <w:szCs w:val="22"/>
          <w:lang w:val="en-US" w:eastAsia="en-US"/>
        </w:rPr>
        <w:t xml:space="preserve">prevention, detection, protection and reparation as pillars of 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the </w:t>
      </w:r>
      <w:r w:rsidRPr="00800909">
        <w:rPr>
          <w:rFonts w:ascii="Calibri" w:eastAsia="Calibri" w:hAnsi="Calibri"/>
          <w:sz w:val="22"/>
          <w:szCs w:val="22"/>
          <w:lang w:val="en-US" w:eastAsia="en-US"/>
        </w:rPr>
        <w:t>public policies</w:t>
      </w:r>
      <w:r>
        <w:rPr>
          <w:rFonts w:ascii="Calibri" w:eastAsia="Calibri" w:hAnsi="Calibri"/>
          <w:sz w:val="22"/>
          <w:szCs w:val="22"/>
          <w:lang w:val="en-US" w:eastAsia="en-US"/>
        </w:rPr>
        <w:t>, with an intersectional perspective that takes into consideration those</w:t>
      </w:r>
      <w:r w:rsidRPr="00D97239">
        <w:rPr>
          <w:rFonts w:ascii="Calibri" w:eastAsia="Calibri" w:hAnsi="Calibri"/>
          <w:sz w:val="22"/>
          <w:szCs w:val="22"/>
          <w:lang w:val="en-US" w:eastAsia="en-US"/>
        </w:rPr>
        <w:t xml:space="preserve"> situations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of special vulnerability,</w:t>
      </w:r>
      <w:r w:rsidRPr="00D97239">
        <w:rPr>
          <w:rFonts w:ascii="Calibri" w:eastAsia="Calibri" w:hAnsi="Calibri"/>
          <w:sz w:val="22"/>
          <w:szCs w:val="22"/>
          <w:lang w:val="en-US" w:eastAsia="en-US"/>
        </w:rPr>
        <w:t xml:space="preserve"> such as 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those of </w:t>
      </w:r>
      <w:r w:rsidRPr="00D97239">
        <w:rPr>
          <w:rFonts w:ascii="Calibri" w:eastAsia="Calibri" w:hAnsi="Calibri"/>
          <w:sz w:val="22"/>
          <w:szCs w:val="22"/>
          <w:lang w:val="en-US" w:eastAsia="en-US"/>
        </w:rPr>
        <w:t>migrant women, women belonging to ethnic or religious communities, women with functional diversity,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and</w:t>
      </w:r>
      <w:r w:rsidRPr="00D97239">
        <w:rPr>
          <w:rFonts w:ascii="Calibri" w:eastAsia="Calibri" w:hAnsi="Calibri"/>
          <w:sz w:val="22"/>
          <w:szCs w:val="22"/>
          <w:lang w:val="en-US" w:eastAsia="en-US"/>
        </w:rPr>
        <w:t xml:space="preserve"> LGBTIQ people and teenagers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; and </w:t>
      </w:r>
      <w:r w:rsidRPr="00D97239">
        <w:rPr>
          <w:rFonts w:ascii="Calibri" w:eastAsia="Calibri" w:hAnsi="Calibri"/>
          <w:sz w:val="22"/>
          <w:szCs w:val="22"/>
          <w:lang w:val="en-US" w:eastAsia="en-US"/>
        </w:rPr>
        <w:t>pay</w:t>
      </w:r>
      <w:r>
        <w:rPr>
          <w:rFonts w:ascii="Calibri" w:eastAsia="Calibri" w:hAnsi="Calibri"/>
          <w:sz w:val="22"/>
          <w:szCs w:val="22"/>
          <w:lang w:val="en-US" w:eastAsia="en-US"/>
        </w:rPr>
        <w:t>ing particular attention to the diverse</w:t>
      </w:r>
      <w:r w:rsidRPr="00D97239">
        <w:rPr>
          <w:rFonts w:ascii="Calibri" w:eastAsia="Calibri" w:hAnsi="Calibri"/>
          <w:sz w:val="22"/>
          <w:szCs w:val="22"/>
          <w:lang w:val="en-US" w:eastAsia="en-US"/>
        </w:rPr>
        <w:t xml:space="preserve"> forms of gender-based cyberviolence.</w:t>
      </w:r>
    </w:p>
    <w:p w:rsidR="00C82A0A" w:rsidRPr="00800909" w:rsidRDefault="00C82A0A" w:rsidP="00C82A0A">
      <w:pPr>
        <w:jc w:val="both"/>
        <w:rPr>
          <w:rFonts w:ascii="Calibri" w:eastAsia="Calibri" w:hAnsi="Calibri"/>
          <w:sz w:val="22"/>
          <w:szCs w:val="22"/>
          <w:lang w:val="en-US" w:eastAsia="en-US"/>
        </w:rPr>
      </w:pPr>
    </w:p>
    <w:p w:rsidR="00C82A0A" w:rsidRPr="00F156D6" w:rsidRDefault="00C82A0A" w:rsidP="00C82A0A">
      <w:pPr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800909">
        <w:rPr>
          <w:rFonts w:ascii="Calibri" w:eastAsia="Calibri" w:hAnsi="Calibri"/>
          <w:sz w:val="22"/>
          <w:szCs w:val="22"/>
          <w:lang w:val="en-US" w:eastAsia="en-US"/>
        </w:rPr>
        <w:t>Legisl</w:t>
      </w:r>
      <w:r>
        <w:rPr>
          <w:rFonts w:ascii="Calibri" w:eastAsia="Calibri" w:hAnsi="Calibri"/>
          <w:sz w:val="22"/>
          <w:szCs w:val="22"/>
          <w:lang w:val="en-US" w:eastAsia="en-US"/>
        </w:rPr>
        <w:t>ative advances will be promoted as well,</w:t>
      </w:r>
      <w:r w:rsidRPr="00800909">
        <w:rPr>
          <w:rFonts w:ascii="Calibri" w:eastAsia="Calibri" w:hAnsi="Calibri"/>
          <w:sz w:val="22"/>
          <w:szCs w:val="22"/>
          <w:lang w:val="en-US" w:eastAsia="en-US"/>
        </w:rPr>
        <w:t xml:space="preserve"> such as the ratification of the Istanbul Convention by the European Union, and the promotion of the </w:t>
      </w:r>
      <w:r w:rsidRPr="00800909">
        <w:rPr>
          <w:rFonts w:ascii="Calibri" w:eastAsia="Calibri" w:hAnsi="Calibri"/>
          <w:bCs/>
          <w:sz w:val="22"/>
          <w:szCs w:val="22"/>
          <w:lang w:val="en-US" w:eastAsia="en-US"/>
        </w:rPr>
        <w:t>Proposal for a Directive of the European Pa</w:t>
      </w:r>
      <w:r>
        <w:rPr>
          <w:rFonts w:ascii="Calibri" w:eastAsia="Calibri" w:hAnsi="Calibri"/>
          <w:bCs/>
          <w:sz w:val="22"/>
          <w:szCs w:val="22"/>
          <w:lang w:val="en-US" w:eastAsia="en-US"/>
        </w:rPr>
        <w:t>rliament and of the Council on Combating Violence against Women and D</w:t>
      </w:r>
      <w:r w:rsidRPr="00800909">
        <w:rPr>
          <w:rFonts w:ascii="Calibri" w:eastAsia="Calibri" w:hAnsi="Calibri"/>
          <w:bCs/>
          <w:sz w:val="22"/>
          <w:szCs w:val="22"/>
          <w:lang w:val="en-US" w:eastAsia="en-US"/>
        </w:rPr>
        <w:t>omestic violence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. We will also thrive for the </w:t>
      </w:r>
      <w:r w:rsidRPr="00800909">
        <w:rPr>
          <w:rFonts w:ascii="Calibri" w:eastAsia="Calibri" w:hAnsi="Calibri"/>
          <w:sz w:val="22"/>
          <w:szCs w:val="22"/>
          <w:lang w:val="en-US" w:eastAsia="en-US"/>
        </w:rPr>
        <w:t>improvement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of statistical tools at a European level in order to achieve</w:t>
      </w:r>
      <w:r w:rsidRPr="00046D94">
        <w:rPr>
          <w:rFonts w:ascii="Calibri" w:eastAsia="Calibri" w:hAnsi="Calibri"/>
          <w:b/>
          <w:sz w:val="22"/>
          <w:szCs w:val="22"/>
          <w:lang w:val="en-US" w:eastAsia="en-US"/>
        </w:rPr>
        <w:t xml:space="preserve"> </w:t>
      </w:r>
      <w:r w:rsidRPr="00F156D6">
        <w:rPr>
          <w:rFonts w:ascii="Calibri" w:eastAsia="Calibri" w:hAnsi="Calibri"/>
          <w:sz w:val="22"/>
          <w:szCs w:val="22"/>
          <w:lang w:val="en-US" w:eastAsia="en-US"/>
        </w:rPr>
        <w:t>the public registration of all cases of gender-based violence as well as other EU initiatives for victim assistance, such as the 116 016 hotline</w:t>
      </w:r>
      <w:r>
        <w:rPr>
          <w:rFonts w:ascii="Calibri" w:eastAsia="Calibri" w:hAnsi="Calibri"/>
          <w:sz w:val="22"/>
          <w:szCs w:val="22"/>
          <w:lang w:val="en-US" w:eastAsia="en-US"/>
        </w:rPr>
        <w:t>.</w:t>
      </w:r>
    </w:p>
    <w:p w:rsidR="00C82A0A" w:rsidRPr="00800909" w:rsidRDefault="00C82A0A" w:rsidP="00C82A0A">
      <w:pPr>
        <w:jc w:val="both"/>
        <w:rPr>
          <w:rFonts w:ascii="Calibri" w:eastAsia="Calibri" w:hAnsi="Calibri"/>
          <w:sz w:val="22"/>
          <w:szCs w:val="22"/>
          <w:lang w:val="en-US" w:eastAsia="en-US"/>
        </w:rPr>
      </w:pPr>
    </w:p>
    <w:p w:rsidR="00C82A0A" w:rsidRDefault="00C82A0A" w:rsidP="00C82A0A">
      <w:pPr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800909">
        <w:rPr>
          <w:rFonts w:ascii="Calibri" w:eastAsia="Calibri" w:hAnsi="Calibri"/>
          <w:sz w:val="22"/>
          <w:szCs w:val="22"/>
          <w:lang w:val="en-US" w:eastAsia="en-US"/>
        </w:rPr>
        <w:t xml:space="preserve">Likewise, a firm commitment will be made to guarantee 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the free and safe universal </w:t>
      </w:r>
      <w:r w:rsidRPr="00800909">
        <w:rPr>
          <w:rFonts w:ascii="Calibri" w:eastAsia="Calibri" w:hAnsi="Calibri"/>
          <w:sz w:val="22"/>
          <w:szCs w:val="22"/>
          <w:lang w:val="en-US" w:eastAsia="en-US"/>
        </w:rPr>
        <w:t xml:space="preserve">access to sexual and reproductive health and rights, with special emphasis on the promotion of comprehensive sexual education in 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the </w:t>
      </w:r>
      <w:r w:rsidRPr="00800909">
        <w:rPr>
          <w:rFonts w:ascii="Calibri" w:eastAsia="Calibri" w:hAnsi="Calibri"/>
          <w:sz w:val="22"/>
          <w:szCs w:val="22"/>
          <w:lang w:val="en-US" w:eastAsia="en-US"/>
        </w:rPr>
        <w:t>educati</w:t>
      </w:r>
      <w:r>
        <w:rPr>
          <w:rFonts w:ascii="Calibri" w:eastAsia="Calibri" w:hAnsi="Calibri"/>
          <w:sz w:val="22"/>
          <w:szCs w:val="22"/>
          <w:lang w:val="en-US" w:eastAsia="en-US"/>
        </w:rPr>
        <w:t>onal sphere and in public health systems, so that women and girls, in all their diversity, and regardless of their economic situation, have all their rights guaranteed.</w:t>
      </w:r>
    </w:p>
    <w:p w:rsidR="00C82A0A" w:rsidRDefault="00C82A0A" w:rsidP="00C82A0A">
      <w:pPr>
        <w:jc w:val="both"/>
        <w:rPr>
          <w:rFonts w:ascii="Calibri" w:eastAsia="Calibri" w:hAnsi="Calibri"/>
          <w:sz w:val="22"/>
          <w:szCs w:val="22"/>
          <w:lang w:val="en-US" w:eastAsia="en-US"/>
        </w:rPr>
      </w:pPr>
    </w:p>
    <w:p w:rsidR="00C82A0A" w:rsidRDefault="00C82A0A" w:rsidP="00C82A0A">
      <w:pPr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075ACE">
        <w:rPr>
          <w:rFonts w:ascii="Arial" w:hAnsi="Arial" w:cs="Arial"/>
          <w:color w:val="666666"/>
          <w:sz w:val="18"/>
          <w:szCs w:val="18"/>
          <w:shd w:val="clear" w:color="auto" w:fill="FFFFFF"/>
          <w:lang w:val="en-US"/>
        </w:rPr>
        <w:t> 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In </w:t>
      </w:r>
      <w:r w:rsidRPr="00800909">
        <w:rPr>
          <w:rFonts w:ascii="Calibri" w:eastAsia="Calibri" w:hAnsi="Calibri"/>
          <w:sz w:val="22"/>
          <w:szCs w:val="22"/>
          <w:lang w:val="en-US" w:eastAsia="en-US"/>
        </w:rPr>
        <w:t>the context of Russia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’s aggression against </w:t>
      </w:r>
      <w:r w:rsidRPr="00800909">
        <w:rPr>
          <w:rFonts w:ascii="Calibri" w:eastAsia="Calibri" w:hAnsi="Calibri"/>
          <w:sz w:val="22"/>
          <w:szCs w:val="22"/>
          <w:lang w:val="en-US" w:eastAsia="en-US"/>
        </w:rPr>
        <w:t>Ukraine, the protection of women and girls</w:t>
      </w:r>
      <w:r>
        <w:rPr>
          <w:rFonts w:ascii="Calibri" w:eastAsia="Calibri" w:hAnsi="Calibri"/>
          <w:sz w:val="22"/>
          <w:szCs w:val="22"/>
          <w:lang w:val="en-US" w:eastAsia="en-US"/>
        </w:rPr>
        <w:t>, in all their diversity</w:t>
      </w:r>
      <w:r w:rsidRPr="00800909">
        <w:rPr>
          <w:rFonts w:ascii="Calibri" w:eastAsia="Calibri" w:hAnsi="Calibri"/>
          <w:sz w:val="22"/>
          <w:szCs w:val="22"/>
          <w:lang w:val="en-US" w:eastAsia="en-US"/>
        </w:rPr>
        <w:t>, and the implementation of the tools developed by the European Union in the framework of the Temporary Protection Directive, the Solidarity Platform and the 10-Point Plan,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will also be a priority, focusing specially</w:t>
      </w:r>
      <w:r w:rsidRPr="00800909">
        <w:rPr>
          <w:rFonts w:ascii="Calibri" w:eastAsia="Calibri" w:hAnsi="Calibri"/>
          <w:sz w:val="22"/>
          <w:szCs w:val="22"/>
          <w:lang w:val="en-US" w:eastAsia="en-US"/>
        </w:rPr>
        <w:t xml:space="preserve"> on the fight against trafficking for sexual exploitation of women and girls (children).</w:t>
      </w:r>
    </w:p>
    <w:p w:rsidR="00C82A0A" w:rsidRDefault="00C82A0A" w:rsidP="00C82A0A">
      <w:pPr>
        <w:jc w:val="both"/>
        <w:rPr>
          <w:rFonts w:ascii="Calibri" w:eastAsia="Calibri" w:hAnsi="Calibri"/>
          <w:sz w:val="22"/>
          <w:szCs w:val="22"/>
          <w:lang w:val="en-US" w:eastAsia="en-US"/>
        </w:rPr>
      </w:pPr>
    </w:p>
    <w:p w:rsidR="00C82A0A" w:rsidRDefault="00C82A0A" w:rsidP="00C82A0A">
      <w:pPr>
        <w:jc w:val="both"/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800909">
        <w:rPr>
          <w:rFonts w:ascii="Calibri" w:eastAsia="Calibri" w:hAnsi="Calibri"/>
          <w:b/>
          <w:sz w:val="22"/>
          <w:szCs w:val="22"/>
          <w:lang w:val="en-US" w:eastAsia="en-US"/>
        </w:rPr>
        <w:t>Economic redistribution, fair recovery and reorganization of care</w:t>
      </w:r>
    </w:p>
    <w:p w:rsidR="00C82A0A" w:rsidRDefault="00C82A0A" w:rsidP="00C82A0A">
      <w:pPr>
        <w:jc w:val="both"/>
        <w:rPr>
          <w:rFonts w:ascii="Calibri" w:eastAsia="Calibri" w:hAnsi="Calibri"/>
          <w:b/>
          <w:sz w:val="22"/>
          <w:szCs w:val="22"/>
          <w:lang w:val="en-US" w:eastAsia="en-US"/>
        </w:rPr>
      </w:pPr>
    </w:p>
    <w:p w:rsidR="00C82A0A" w:rsidRPr="00800909" w:rsidRDefault="00C82A0A" w:rsidP="00C82A0A">
      <w:pPr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800909">
        <w:rPr>
          <w:rFonts w:ascii="Calibri" w:eastAsia="Calibri" w:hAnsi="Calibri"/>
          <w:sz w:val="22"/>
          <w:szCs w:val="22"/>
          <w:lang w:val="en-US" w:eastAsia="en-US"/>
        </w:rPr>
        <w:t>We will focus on consolidating the economic recovery with the aim of combating poverty and reducing social inequalities, improving the living conditions of those who are suffering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the</w:t>
      </w:r>
      <w:r w:rsidRPr="00800909">
        <w:rPr>
          <w:rFonts w:ascii="Calibri" w:eastAsia="Calibri" w:hAnsi="Calibri"/>
          <w:sz w:val="22"/>
          <w:szCs w:val="22"/>
          <w:lang w:val="en-US" w:eastAsia="en-US"/>
        </w:rPr>
        <w:t xml:space="preserve"> most from poverty and precariousness and paying special attention to the economic and social conditions of women. Within the framework of this objective, equal pay will be promoted. </w:t>
      </w:r>
    </w:p>
    <w:p w:rsidR="00C82A0A" w:rsidRPr="00800909" w:rsidRDefault="00C82A0A" w:rsidP="00C82A0A">
      <w:pPr>
        <w:jc w:val="both"/>
        <w:rPr>
          <w:rFonts w:ascii="Calibri" w:eastAsia="Calibri" w:hAnsi="Calibri"/>
          <w:sz w:val="22"/>
          <w:szCs w:val="22"/>
          <w:lang w:val="en-US" w:eastAsia="en-US"/>
        </w:rPr>
      </w:pPr>
    </w:p>
    <w:p w:rsidR="00C82A0A" w:rsidRPr="00800909" w:rsidRDefault="00C82A0A" w:rsidP="00C82A0A">
      <w:pPr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800909">
        <w:rPr>
          <w:rFonts w:ascii="Calibri" w:eastAsia="Calibri" w:hAnsi="Calibri"/>
          <w:sz w:val="22"/>
          <w:szCs w:val="22"/>
          <w:lang w:val="en-US" w:eastAsia="en-US"/>
        </w:rPr>
        <w:t>In addition, a public care system will be promoted in all countries, guaranteeing the right to care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and to be cared for all people and the equal distribution of</w:t>
      </w:r>
      <w:r w:rsidRPr="00800909">
        <w:rPr>
          <w:rFonts w:ascii="Calibri" w:eastAsia="Calibri" w:hAnsi="Calibri"/>
          <w:sz w:val="22"/>
          <w:szCs w:val="22"/>
          <w:lang w:val="en-US" w:eastAsia="en-US"/>
        </w:rPr>
        <w:t xml:space="preserve"> the workload that women currently carry in caring for others. </w:t>
      </w:r>
      <w:r>
        <w:rPr>
          <w:rFonts w:ascii="Calibri" w:eastAsia="Calibri" w:hAnsi="Calibri"/>
          <w:sz w:val="22"/>
          <w:szCs w:val="22"/>
          <w:lang w:val="en-US" w:eastAsia="en-US"/>
        </w:rPr>
        <w:t>Thus, w</w:t>
      </w:r>
      <w:r w:rsidRPr="00800909">
        <w:rPr>
          <w:rFonts w:ascii="Calibri" w:eastAsia="Calibri" w:hAnsi="Calibri"/>
          <w:sz w:val="22"/>
          <w:szCs w:val="22"/>
          <w:lang w:val="en-US" w:eastAsia="en-US"/>
        </w:rPr>
        <w:t>e will promote the visibility, recognition and, above all, the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equal</w:t>
      </w:r>
      <w:r w:rsidRPr="00800909">
        <w:rPr>
          <w:rFonts w:ascii="Calibri" w:eastAsia="Calibri" w:hAnsi="Calibri"/>
          <w:sz w:val="22"/>
          <w:szCs w:val="22"/>
          <w:lang w:val="en-US" w:eastAsia="en-US"/>
        </w:rPr>
        <w:t xml:space="preserve"> sharing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of this work between women and men </w:t>
      </w:r>
      <w:r w:rsidRPr="00800909">
        <w:rPr>
          <w:rFonts w:ascii="Calibri" w:eastAsia="Calibri" w:hAnsi="Calibri"/>
          <w:sz w:val="22"/>
          <w:szCs w:val="22"/>
          <w:lang w:val="en-US" w:eastAsia="en-US"/>
        </w:rPr>
        <w:t>and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the</w:t>
      </w:r>
      <w:r w:rsidRPr="00800909">
        <w:rPr>
          <w:rFonts w:ascii="Calibri" w:eastAsia="Calibri" w:hAnsi="Calibri"/>
          <w:sz w:val="22"/>
          <w:szCs w:val="22"/>
          <w:lang w:val="en-US" w:eastAsia="en-US"/>
        </w:rPr>
        <w:t xml:space="preserve"> co-responsibility </w:t>
      </w:r>
      <w:r>
        <w:rPr>
          <w:rFonts w:ascii="Calibri" w:eastAsia="Calibri" w:hAnsi="Calibri"/>
          <w:sz w:val="22"/>
          <w:szCs w:val="22"/>
          <w:lang w:val="en-US" w:eastAsia="en-US"/>
        </w:rPr>
        <w:t>with the States</w:t>
      </w:r>
      <w:r w:rsidRPr="00800909">
        <w:rPr>
          <w:rFonts w:ascii="Calibri" w:eastAsia="Calibri" w:hAnsi="Calibri"/>
          <w:sz w:val="22"/>
          <w:szCs w:val="22"/>
          <w:lang w:val="en-US" w:eastAsia="en-US"/>
        </w:rPr>
        <w:t xml:space="preserve"> through child-rearing leave</w:t>
      </w:r>
      <w:r>
        <w:rPr>
          <w:rFonts w:ascii="Calibri" w:eastAsia="Calibri" w:hAnsi="Calibri"/>
          <w:sz w:val="22"/>
          <w:szCs w:val="22"/>
          <w:lang w:val="en-US" w:eastAsia="en-US"/>
        </w:rPr>
        <w:t>s and schemes</w:t>
      </w:r>
      <w:r w:rsidRPr="00800909">
        <w:rPr>
          <w:rFonts w:ascii="Calibri" w:eastAsia="Calibri" w:hAnsi="Calibri"/>
          <w:sz w:val="22"/>
          <w:szCs w:val="22"/>
          <w:lang w:val="en-US" w:eastAsia="en-US"/>
        </w:rPr>
        <w:t>, the strengthening of public systems, and the elimination of precariousness for female employees in the field of care.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We will also work on the Recommendations included in the European Union’s Care Strategy.</w:t>
      </w:r>
    </w:p>
    <w:p w:rsidR="00C82A0A" w:rsidRPr="00800909" w:rsidRDefault="00C82A0A" w:rsidP="00C82A0A">
      <w:pPr>
        <w:jc w:val="both"/>
        <w:rPr>
          <w:rFonts w:ascii="Calibri" w:eastAsia="Calibri" w:hAnsi="Calibri"/>
          <w:b/>
          <w:sz w:val="22"/>
          <w:szCs w:val="22"/>
          <w:lang w:val="en-US" w:eastAsia="en-US"/>
        </w:rPr>
      </w:pPr>
    </w:p>
    <w:p w:rsidR="00C82A0A" w:rsidRDefault="00C82A0A" w:rsidP="00C82A0A">
      <w:pPr>
        <w:jc w:val="both"/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800909">
        <w:rPr>
          <w:rFonts w:ascii="Calibri" w:eastAsia="Calibri" w:hAnsi="Calibri"/>
          <w:b/>
          <w:sz w:val="22"/>
          <w:szCs w:val="22"/>
          <w:lang w:val="en-US" w:eastAsia="en-US"/>
        </w:rPr>
        <w:t xml:space="preserve">Promoting </w:t>
      </w:r>
      <w:r>
        <w:rPr>
          <w:rFonts w:ascii="Calibri" w:eastAsia="Calibri" w:hAnsi="Calibri"/>
          <w:b/>
          <w:sz w:val="22"/>
          <w:szCs w:val="22"/>
          <w:lang w:val="en-US" w:eastAsia="en-US"/>
        </w:rPr>
        <w:t>gender equality in public life:</w:t>
      </w:r>
    </w:p>
    <w:p w:rsidR="00C82A0A" w:rsidRDefault="00C82A0A" w:rsidP="00C82A0A">
      <w:pPr>
        <w:jc w:val="both"/>
        <w:rPr>
          <w:rFonts w:ascii="Calibri" w:eastAsia="Calibri" w:hAnsi="Calibri"/>
          <w:b/>
          <w:sz w:val="22"/>
          <w:szCs w:val="22"/>
          <w:lang w:val="en-US" w:eastAsia="en-US"/>
        </w:rPr>
      </w:pPr>
    </w:p>
    <w:p w:rsidR="00C82A0A" w:rsidRPr="00EB1051" w:rsidRDefault="00C82A0A" w:rsidP="00C82A0A">
      <w:pPr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P</w:t>
      </w:r>
      <w:r w:rsidRPr="00EB1051">
        <w:rPr>
          <w:rFonts w:ascii="Calibri" w:eastAsia="Calibri" w:hAnsi="Calibri"/>
          <w:sz w:val="22"/>
          <w:szCs w:val="22"/>
          <w:lang w:val="en-US" w:eastAsia="en-US"/>
        </w:rPr>
        <w:t>romot</w:t>
      </w:r>
      <w:r>
        <w:rPr>
          <w:rFonts w:ascii="Calibri" w:eastAsia="Calibri" w:hAnsi="Calibri"/>
          <w:sz w:val="22"/>
          <w:szCs w:val="22"/>
          <w:lang w:val="en-US" w:eastAsia="en-US"/>
        </w:rPr>
        <w:t>ing</w:t>
      </w:r>
      <w:r w:rsidRPr="00EB1051">
        <w:rPr>
          <w:rFonts w:ascii="Calibri" w:eastAsia="Calibri" w:hAnsi="Calibri"/>
          <w:sz w:val="22"/>
          <w:szCs w:val="22"/>
          <w:lang w:val="en-US" w:eastAsia="en-US"/>
        </w:rPr>
        <w:t xml:space="preserve"> gender equality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and gender mainstreaming in</w:t>
      </w:r>
      <w:r w:rsidRPr="00EB1051">
        <w:rPr>
          <w:rFonts w:ascii="Calibri" w:eastAsia="Calibri" w:hAnsi="Calibri"/>
          <w:sz w:val="22"/>
          <w:szCs w:val="22"/>
          <w:lang w:val="en-US" w:eastAsia="en-US"/>
        </w:rPr>
        <w:t xml:space="preserve"> public life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is also essential</w:t>
      </w:r>
      <w:r w:rsidRPr="00EB1051">
        <w:rPr>
          <w:rFonts w:ascii="Calibri" w:eastAsia="Calibri" w:hAnsi="Calibri"/>
          <w:sz w:val="22"/>
          <w:szCs w:val="22"/>
          <w:lang w:val="en-US" w:eastAsia="en-US"/>
        </w:rPr>
        <w:t xml:space="preserve">. In other words, the Spanish </w:t>
      </w:r>
      <w:r>
        <w:rPr>
          <w:rFonts w:ascii="Calibri" w:eastAsia="Calibri" w:hAnsi="Calibri"/>
          <w:sz w:val="22"/>
          <w:szCs w:val="22"/>
          <w:lang w:val="en-US" w:eastAsia="en-US"/>
        </w:rPr>
        <w:t>P</w:t>
      </w:r>
      <w:r w:rsidRPr="00EB1051">
        <w:rPr>
          <w:rFonts w:ascii="Calibri" w:eastAsia="Calibri" w:hAnsi="Calibri"/>
          <w:sz w:val="22"/>
          <w:szCs w:val="22"/>
          <w:lang w:val="en-US" w:eastAsia="en-US"/>
        </w:rPr>
        <w:t xml:space="preserve">residency will </w:t>
      </w:r>
      <w:r>
        <w:rPr>
          <w:rFonts w:ascii="Calibri" w:eastAsia="Calibri" w:hAnsi="Calibri"/>
          <w:sz w:val="22"/>
          <w:szCs w:val="22"/>
          <w:lang w:val="en-US" w:eastAsia="en-US"/>
        </w:rPr>
        <w:t>s</w:t>
      </w:r>
      <w:r w:rsidRPr="00EB1051">
        <w:rPr>
          <w:rFonts w:ascii="Calibri" w:eastAsia="Calibri" w:hAnsi="Calibri"/>
          <w:sz w:val="22"/>
          <w:szCs w:val="22"/>
          <w:lang w:val="en-US" w:eastAsia="en-US"/>
        </w:rPr>
        <w:t>trive to ensure the participation of all women, taking into account their diversity</w:t>
      </w:r>
      <w:r>
        <w:rPr>
          <w:rFonts w:ascii="Calibri" w:eastAsia="Calibri" w:hAnsi="Calibri"/>
          <w:sz w:val="22"/>
          <w:szCs w:val="22"/>
          <w:lang w:val="en-US" w:eastAsia="en-US"/>
        </w:rPr>
        <w:t>,</w:t>
      </w:r>
      <w:r w:rsidRPr="00EB1051">
        <w:rPr>
          <w:rFonts w:ascii="Calibri" w:eastAsia="Calibri" w:hAnsi="Calibri"/>
          <w:sz w:val="22"/>
          <w:szCs w:val="22"/>
          <w:lang w:val="en-US" w:eastAsia="en-US"/>
        </w:rPr>
        <w:t xml:space="preserve"> at all levels of politic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al and economic decision making, including companies and </w:t>
      </w:r>
      <w:r w:rsidRPr="00EB1051">
        <w:rPr>
          <w:rFonts w:ascii="Calibri" w:eastAsia="Calibri" w:hAnsi="Calibri"/>
          <w:sz w:val="22"/>
          <w:szCs w:val="22"/>
          <w:lang w:val="en-US" w:eastAsia="en-US"/>
        </w:rPr>
        <w:t>NGOs</w:t>
      </w:r>
      <w:r>
        <w:rPr>
          <w:rFonts w:ascii="Calibri" w:eastAsia="Calibri" w:hAnsi="Calibri"/>
          <w:sz w:val="22"/>
          <w:szCs w:val="22"/>
          <w:lang w:val="en-US" w:eastAsia="en-US"/>
        </w:rPr>
        <w:t>.</w:t>
      </w:r>
    </w:p>
    <w:p w:rsidR="00C82A0A" w:rsidRPr="00800909" w:rsidRDefault="00C82A0A" w:rsidP="00C82A0A">
      <w:pPr>
        <w:jc w:val="both"/>
        <w:rPr>
          <w:rFonts w:ascii="Calibri" w:eastAsia="Calibri" w:hAnsi="Calibri"/>
          <w:sz w:val="22"/>
          <w:szCs w:val="22"/>
          <w:lang w:val="en-US" w:eastAsia="en-US"/>
        </w:rPr>
      </w:pPr>
    </w:p>
    <w:p w:rsidR="00C82A0A" w:rsidRPr="00800909" w:rsidRDefault="00C82A0A" w:rsidP="00C82A0A">
      <w:pPr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In this regard, the Spanish Presidency</w:t>
      </w:r>
      <w:r w:rsidRPr="00800909">
        <w:rPr>
          <w:rFonts w:ascii="Calibri" w:eastAsia="Calibri" w:hAnsi="Calibri"/>
          <w:sz w:val="22"/>
          <w:szCs w:val="22"/>
          <w:lang w:val="en-US" w:eastAsia="en-US"/>
        </w:rPr>
        <w:t xml:space="preserve"> will take forward work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Pr="00800909">
        <w:rPr>
          <w:rFonts w:ascii="Calibri" w:eastAsia="Calibri" w:hAnsi="Calibri"/>
          <w:sz w:val="22"/>
          <w:szCs w:val="22"/>
          <w:lang w:val="en-US" w:eastAsia="en-US"/>
        </w:rPr>
        <w:t xml:space="preserve">on the </w:t>
      </w:r>
      <w:r w:rsidRPr="00800909">
        <w:rPr>
          <w:rFonts w:ascii="Calibri" w:eastAsia="Calibri" w:hAnsi="Calibri"/>
          <w:bCs/>
          <w:sz w:val="22"/>
          <w:szCs w:val="22"/>
          <w:lang w:val="en-US" w:eastAsia="en-US"/>
        </w:rPr>
        <w:t>Proposal for a Council Directive on implementing the principle of equal treatment between persons irrespective of religion or belief, disability,</w:t>
      </w:r>
      <w:r>
        <w:rPr>
          <w:rFonts w:ascii="Calibri" w:eastAsia="Calibri" w:hAnsi="Calibri"/>
          <w:bCs/>
          <w:sz w:val="22"/>
          <w:szCs w:val="22"/>
          <w:lang w:val="en-US" w:eastAsia="en-US"/>
        </w:rPr>
        <w:t xml:space="preserve"> sex,</w:t>
      </w:r>
      <w:r w:rsidRPr="00800909">
        <w:rPr>
          <w:rFonts w:ascii="Calibri" w:eastAsia="Calibri" w:hAnsi="Calibri"/>
          <w:bCs/>
          <w:sz w:val="22"/>
          <w:szCs w:val="22"/>
          <w:lang w:val="en-US" w:eastAsia="en-US"/>
        </w:rPr>
        <w:t xml:space="preserve"> age or sexual orientation </w:t>
      </w:r>
      <w:r w:rsidRPr="00800909">
        <w:rPr>
          <w:rFonts w:ascii="Calibri" w:eastAsia="Calibri" w:hAnsi="Calibri"/>
          <w:sz w:val="22"/>
          <w:szCs w:val="22"/>
          <w:lang w:val="en-US" w:eastAsia="en-US"/>
        </w:rPr>
        <w:t>and on the Commission's forthcoming initiative on Equality Bodies.</w:t>
      </w:r>
    </w:p>
    <w:p w:rsidR="00C82A0A" w:rsidRPr="00800909" w:rsidRDefault="00C82A0A" w:rsidP="00C82A0A">
      <w:pPr>
        <w:jc w:val="both"/>
        <w:rPr>
          <w:rFonts w:ascii="Calibri" w:eastAsia="Calibri" w:hAnsi="Calibri"/>
          <w:sz w:val="22"/>
          <w:szCs w:val="22"/>
          <w:lang w:val="en-US" w:eastAsia="en-US"/>
        </w:rPr>
      </w:pPr>
    </w:p>
    <w:p w:rsidR="00C82A0A" w:rsidRDefault="00C82A0A" w:rsidP="00C82A0A">
      <w:pPr>
        <w:pStyle w:val="FootnoteText"/>
        <w:tabs>
          <w:tab w:val="left" w:pos="-2552"/>
        </w:tabs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800909">
        <w:rPr>
          <w:rFonts w:asciiTheme="minorHAnsi" w:hAnsiTheme="minorHAnsi" w:cs="Arial"/>
          <w:sz w:val="22"/>
          <w:szCs w:val="22"/>
          <w:lang w:val="en-US"/>
        </w:rPr>
        <w:t xml:space="preserve">The </w:t>
      </w:r>
      <w:r w:rsidRPr="00800909">
        <w:rPr>
          <w:rFonts w:asciiTheme="minorHAnsi" w:hAnsiTheme="minorHAnsi" w:cs="Arial"/>
          <w:b/>
          <w:sz w:val="22"/>
          <w:szCs w:val="22"/>
          <w:lang w:val="en-US"/>
        </w:rPr>
        <w:t>Spanish Presidency</w:t>
      </w:r>
      <w:r w:rsidRPr="00800909">
        <w:rPr>
          <w:rFonts w:asciiTheme="minorHAnsi" w:hAnsiTheme="minorHAnsi" w:cs="Arial"/>
          <w:sz w:val="22"/>
          <w:szCs w:val="22"/>
          <w:lang w:val="en-US"/>
        </w:rPr>
        <w:t xml:space="preserve"> plans to organize the following events:</w:t>
      </w:r>
    </w:p>
    <w:p w:rsidR="00C82A0A" w:rsidRPr="00800909" w:rsidRDefault="00C82A0A" w:rsidP="00C82A0A">
      <w:pPr>
        <w:pStyle w:val="FootnoteText"/>
        <w:tabs>
          <w:tab w:val="left" w:pos="-2552"/>
        </w:tabs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C82A0A" w:rsidRDefault="00C82A0A" w:rsidP="00C82A0A">
      <w:pPr>
        <w:pStyle w:val="FootnoteText"/>
        <w:numPr>
          <w:ilvl w:val="0"/>
          <w:numId w:val="27"/>
        </w:numPr>
        <w:tabs>
          <w:tab w:val="left" w:pos="-2552"/>
        </w:tabs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800909">
        <w:rPr>
          <w:rFonts w:asciiTheme="minorHAnsi" w:hAnsiTheme="minorHAnsi" w:cs="Arial"/>
          <w:b/>
          <w:sz w:val="22"/>
          <w:szCs w:val="22"/>
          <w:lang w:val="en-US"/>
        </w:rPr>
        <w:t>Meeting of the High Level Group on Gender Mainstreaming</w:t>
      </w:r>
      <w:r w:rsidRPr="00800909">
        <w:rPr>
          <w:rFonts w:asciiTheme="minorHAnsi" w:hAnsiTheme="minorHAnsi" w:cs="Arial"/>
          <w:sz w:val="22"/>
          <w:szCs w:val="22"/>
          <w:lang w:val="en-US"/>
        </w:rPr>
        <w:t>, Madrid,</w:t>
      </w:r>
    </w:p>
    <w:p w:rsidR="00C82A0A" w:rsidRDefault="00C82A0A" w:rsidP="00C82A0A">
      <w:pPr>
        <w:pStyle w:val="FootnoteText"/>
        <w:tabs>
          <w:tab w:val="left" w:pos="-2552"/>
        </w:tabs>
        <w:ind w:left="1741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C82A0A" w:rsidRDefault="00C82A0A" w:rsidP="00C82A0A">
      <w:pPr>
        <w:pStyle w:val="FootnoteText"/>
        <w:numPr>
          <w:ilvl w:val="0"/>
          <w:numId w:val="27"/>
        </w:numPr>
        <w:tabs>
          <w:tab w:val="left" w:pos="-2552"/>
        </w:tabs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696259">
        <w:rPr>
          <w:rFonts w:asciiTheme="minorHAnsi" w:hAnsiTheme="minorHAnsi" w:cs="Arial"/>
          <w:b/>
          <w:sz w:val="22"/>
          <w:szCs w:val="22"/>
          <w:lang w:val="en-US"/>
        </w:rPr>
        <w:t>Conference on the guarantee of sexual and reproductive rights,</w:t>
      </w:r>
      <w:r w:rsidRPr="00696259">
        <w:rPr>
          <w:rFonts w:asciiTheme="minorHAnsi" w:hAnsiTheme="minorHAnsi" w:cs="Arial"/>
          <w:sz w:val="22"/>
          <w:szCs w:val="22"/>
          <w:lang w:val="en-US"/>
        </w:rPr>
        <w:t xml:space="preserve"> Zaragoza, (Aragón)</w:t>
      </w:r>
    </w:p>
    <w:p w:rsidR="00C82A0A" w:rsidRDefault="00C82A0A" w:rsidP="00C82A0A">
      <w:pPr>
        <w:pStyle w:val="ListParagraph"/>
        <w:rPr>
          <w:rFonts w:cs="Arial"/>
          <w:lang w:val="en-US"/>
        </w:rPr>
      </w:pPr>
    </w:p>
    <w:p w:rsidR="00C82A0A" w:rsidRPr="00800909" w:rsidRDefault="00C82A0A" w:rsidP="00C82A0A">
      <w:pPr>
        <w:pStyle w:val="FootnoteText"/>
        <w:numPr>
          <w:ilvl w:val="0"/>
          <w:numId w:val="27"/>
        </w:numPr>
        <w:tabs>
          <w:tab w:val="left" w:pos="-2552"/>
        </w:tabs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800909">
        <w:rPr>
          <w:rFonts w:asciiTheme="minorHAnsi" w:hAnsiTheme="minorHAnsi" w:cs="Arial"/>
          <w:b/>
          <w:sz w:val="22"/>
          <w:szCs w:val="22"/>
          <w:lang w:val="en-US"/>
        </w:rPr>
        <w:t>High level meeting on the right to care and to be cared, fair recovery and economic redistribution</w:t>
      </w:r>
      <w:r w:rsidRPr="00800909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r>
        <w:rPr>
          <w:rFonts w:asciiTheme="minorHAnsi" w:hAnsiTheme="minorHAnsi" w:cs="Arial"/>
          <w:sz w:val="22"/>
          <w:szCs w:val="22"/>
          <w:lang w:val="en-US"/>
        </w:rPr>
        <w:t>Las Palmas de Gran Canaria (Islas Canarias)</w:t>
      </w:r>
    </w:p>
    <w:p w:rsidR="00C82A0A" w:rsidRPr="00800909" w:rsidRDefault="00C82A0A" w:rsidP="00C82A0A">
      <w:pPr>
        <w:pStyle w:val="ListParagraph"/>
        <w:jc w:val="both"/>
        <w:rPr>
          <w:rFonts w:cs="Arial"/>
          <w:lang w:val="en-US"/>
        </w:rPr>
      </w:pPr>
    </w:p>
    <w:p w:rsidR="00C82A0A" w:rsidRPr="00D97239" w:rsidRDefault="00C82A0A" w:rsidP="00C82A0A">
      <w:pPr>
        <w:pStyle w:val="FootnoteText"/>
        <w:numPr>
          <w:ilvl w:val="0"/>
          <w:numId w:val="27"/>
        </w:numPr>
        <w:tabs>
          <w:tab w:val="left" w:pos="-2552"/>
        </w:tabs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800909">
        <w:rPr>
          <w:rFonts w:asciiTheme="minorHAnsi" w:hAnsiTheme="minorHAnsi" w:cs="Arial"/>
          <w:b/>
          <w:sz w:val="22"/>
          <w:szCs w:val="22"/>
          <w:lang w:val="en-US"/>
        </w:rPr>
        <w:t xml:space="preserve">High level meeting on sexual freedom, </w:t>
      </w:r>
      <w:r w:rsidRPr="00D97239">
        <w:rPr>
          <w:rFonts w:asciiTheme="minorHAnsi" w:hAnsiTheme="minorHAnsi" w:cs="Arial"/>
          <w:sz w:val="22"/>
          <w:szCs w:val="22"/>
          <w:lang w:val="en-US"/>
        </w:rPr>
        <w:t>Pamplona (Navarra).</w:t>
      </w:r>
    </w:p>
    <w:p w:rsidR="00C82A0A" w:rsidRPr="00800909" w:rsidRDefault="00C82A0A" w:rsidP="00C82A0A">
      <w:pPr>
        <w:pStyle w:val="FootnoteText"/>
        <w:tabs>
          <w:tab w:val="left" w:pos="-2552"/>
        </w:tabs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C82A0A" w:rsidRPr="00696259" w:rsidRDefault="00C82A0A" w:rsidP="00C82A0A">
      <w:pPr>
        <w:pStyle w:val="FootnoteText"/>
        <w:numPr>
          <w:ilvl w:val="0"/>
          <w:numId w:val="27"/>
        </w:numPr>
        <w:tabs>
          <w:tab w:val="left" w:pos="-2552"/>
        </w:tabs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 w:rsidRPr="00800909">
        <w:rPr>
          <w:rFonts w:asciiTheme="minorHAnsi" w:hAnsiTheme="minorHAnsi" w:cs="Arial"/>
          <w:b/>
          <w:sz w:val="22"/>
          <w:szCs w:val="22"/>
          <w:lang w:val="en-US"/>
        </w:rPr>
        <w:t xml:space="preserve">Informal meeting of Equality Gender ministers, on Gender Based Violence, </w:t>
      </w:r>
      <w:r w:rsidRPr="00696259">
        <w:rPr>
          <w:rFonts w:asciiTheme="minorHAnsi" w:hAnsiTheme="minorHAnsi" w:cs="Arial"/>
          <w:sz w:val="22"/>
          <w:szCs w:val="22"/>
          <w:lang w:val="en-US"/>
        </w:rPr>
        <w:t>Pamplona (Navarra).</w:t>
      </w:r>
    </w:p>
    <w:p w:rsidR="00C82A0A" w:rsidRDefault="00C82A0A" w:rsidP="00C82A0A">
      <w:pPr>
        <w:pStyle w:val="ListParagraph"/>
        <w:spacing w:after="0"/>
        <w:rPr>
          <w:rFonts w:cs="Arial"/>
          <w:b/>
          <w:lang w:val="en-US"/>
        </w:rPr>
      </w:pPr>
    </w:p>
    <w:p w:rsidR="00C82A0A" w:rsidRPr="00696259" w:rsidRDefault="00C82A0A" w:rsidP="00C82A0A">
      <w:pPr>
        <w:pStyle w:val="FootnoteText"/>
        <w:numPr>
          <w:ilvl w:val="0"/>
          <w:numId w:val="27"/>
        </w:numPr>
        <w:tabs>
          <w:tab w:val="left" w:pos="-2552"/>
        </w:tabs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D</w:t>
      </w:r>
      <w:r w:rsidRPr="00696259">
        <w:rPr>
          <w:rFonts w:asciiTheme="minorHAnsi" w:hAnsiTheme="minorHAnsi" w:cs="Arial"/>
          <w:b/>
          <w:sz w:val="22"/>
          <w:szCs w:val="22"/>
          <w:lang w:val="en-US"/>
        </w:rPr>
        <w:t>iscussion and possible adoption of Council Conclusions on Care</w:t>
      </w:r>
    </w:p>
    <w:p w:rsidR="00C82A0A" w:rsidRPr="00C82A0A" w:rsidRDefault="00C82A0A" w:rsidP="00C82A0A">
      <w:pPr>
        <w:pStyle w:val="FootnoteText"/>
        <w:tabs>
          <w:tab w:val="left" w:pos="-2552"/>
        </w:tabs>
        <w:rPr>
          <w:rFonts w:asciiTheme="minorHAnsi" w:hAnsiTheme="minorHAnsi" w:cs="Arial"/>
          <w:bCs/>
          <w:sz w:val="22"/>
          <w:lang w:val="en-US"/>
        </w:rPr>
      </w:pPr>
    </w:p>
    <w:sectPr w:rsidR="00C82A0A" w:rsidRPr="00C82A0A">
      <w:type w:val="continuous"/>
      <w:pgSz w:w="11906" w:h="16838" w:code="9"/>
      <w:pgMar w:top="992" w:right="567" w:bottom="851" w:left="851" w:header="289" w:footer="1010" w:gutter="0"/>
      <w:cols w:space="720" w:equalWidth="0">
        <w:col w:w="9411"/>
      </w:cols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F05" w:rsidRDefault="00A84F05">
      <w:r>
        <w:separator/>
      </w:r>
    </w:p>
  </w:endnote>
  <w:endnote w:type="continuationSeparator" w:id="0">
    <w:p w:rsidR="00A84F05" w:rsidRDefault="00A8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EF0" w:rsidRDefault="00720E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0EF0" w:rsidRDefault="00720E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70"/>
      <w:gridCol w:w="158"/>
    </w:tblGrid>
    <w:tr w:rsidR="00720EF0">
      <w:tc>
        <w:tcPr>
          <w:tcW w:w="10825" w:type="dxa"/>
        </w:tcPr>
        <w:p w:rsidR="00720EF0" w:rsidRDefault="00720EF0">
          <w:pPr>
            <w:pStyle w:val="Footer"/>
            <w:ind w:left="8504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 xml:space="preserve">   </w:t>
          </w:r>
        </w:p>
      </w:tc>
      <w:tc>
        <w:tcPr>
          <w:tcW w:w="160" w:type="dxa"/>
        </w:tcPr>
        <w:p w:rsidR="00720EF0" w:rsidRDefault="00720EF0">
          <w:pPr>
            <w:pStyle w:val="Footer"/>
            <w:jc w:val="right"/>
            <w:rPr>
              <w:rFonts w:ascii="Gill Sans MT" w:hAnsi="Gill Sans MT"/>
              <w:sz w:val="14"/>
            </w:rPr>
          </w:pPr>
        </w:p>
      </w:tc>
    </w:tr>
  </w:tbl>
  <w:p w:rsidR="00720EF0" w:rsidRDefault="00720EF0">
    <w:pPr>
      <w:pStyle w:val="Footer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  <w:gridCol w:w="2289"/>
    </w:tblGrid>
    <w:tr w:rsidR="00720EF0">
      <w:tc>
        <w:tcPr>
          <w:tcW w:w="8434" w:type="dxa"/>
          <w:vAlign w:val="bottom"/>
        </w:tcPr>
        <w:p w:rsidR="00D427D3" w:rsidRDefault="00D427D3">
          <w:pPr>
            <w:pStyle w:val="FootnoteText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www.</w:t>
          </w:r>
          <w:r w:rsidR="00CC2B53">
            <w:rPr>
              <w:rFonts w:ascii="Gill Sans MT" w:hAnsi="Gill Sans MT" w:cs="Arial"/>
              <w:sz w:val="14"/>
            </w:rPr>
            <w:t>igualdad</w:t>
          </w:r>
          <w:r>
            <w:rPr>
              <w:rFonts w:ascii="Gill Sans MT" w:hAnsi="Gill Sans MT" w:cs="Arial"/>
              <w:sz w:val="14"/>
            </w:rPr>
            <w:t>.</w:t>
          </w:r>
          <w:r w:rsidR="00E074DA">
            <w:rPr>
              <w:rFonts w:ascii="Gill Sans MT" w:hAnsi="Gill Sans MT" w:cs="Arial"/>
              <w:sz w:val="14"/>
            </w:rPr>
            <w:t>gob.</w:t>
          </w:r>
          <w:r>
            <w:rPr>
              <w:rFonts w:ascii="Gill Sans MT" w:hAnsi="Gill Sans MT" w:cs="Arial"/>
              <w:sz w:val="14"/>
            </w:rPr>
            <w:t>es</w:t>
          </w:r>
        </w:p>
        <w:p w:rsidR="00720EF0" w:rsidRDefault="00AC34D9" w:rsidP="004B5203">
          <w:pPr>
            <w:pStyle w:val="FootnoteText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  <w:u w:val="single"/>
              <w:lang w:val="es-ES"/>
            </w:rPr>
          </w:pPr>
          <w:hyperlink r:id="rId1" w:history="1">
            <w:r w:rsidR="00AD09D2" w:rsidRPr="00036F3D">
              <w:rPr>
                <w:rStyle w:val="Hyperlink"/>
                <w:rFonts w:ascii="Gill Sans MT" w:hAnsi="Gill Sans MT" w:cs="Arial"/>
                <w:sz w:val="14"/>
                <w:lang w:val="es-ES"/>
              </w:rPr>
              <w:t>gabmin.igualdad@igualdad.gob.es</w:t>
            </w:r>
          </w:hyperlink>
        </w:p>
        <w:p w:rsidR="003F557E" w:rsidRDefault="00F04069" w:rsidP="004B5203">
          <w:pPr>
            <w:pStyle w:val="FootnoteText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r w:rsidRPr="00F04069">
            <w:rPr>
              <w:rFonts w:ascii="Gill Sans MT" w:hAnsi="Gill Sans MT" w:cs="Arial"/>
              <w:sz w:val="14"/>
            </w:rPr>
            <w:t>Dir E05071701</w:t>
          </w:r>
        </w:p>
      </w:tc>
      <w:tc>
        <w:tcPr>
          <w:tcW w:w="2289" w:type="dxa"/>
        </w:tcPr>
        <w:p w:rsidR="00D427D3" w:rsidRDefault="00D427D3">
          <w:pPr>
            <w:pStyle w:val="FootnoteText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C/</w:t>
          </w:r>
          <w:r w:rsidR="004B5203">
            <w:rPr>
              <w:rFonts w:ascii="Gill Sans MT" w:hAnsi="Gill Sans MT" w:cs="Arial"/>
              <w:sz w:val="14"/>
            </w:rPr>
            <w:t>Alcalá,  Nº 37</w:t>
          </w:r>
        </w:p>
        <w:p w:rsidR="004B5203" w:rsidRDefault="004B5203">
          <w:pPr>
            <w:pStyle w:val="FootnoteText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28014 MADRID</w:t>
          </w:r>
        </w:p>
        <w:p w:rsidR="00D427D3" w:rsidRDefault="00D427D3">
          <w:pPr>
            <w:pStyle w:val="FootnoteText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 xml:space="preserve">TEL: 91 </w:t>
          </w:r>
          <w:r w:rsidR="00AD09D2">
            <w:rPr>
              <w:rFonts w:ascii="Gill Sans MT" w:hAnsi="Gill Sans MT" w:cs="Arial"/>
              <w:sz w:val="14"/>
            </w:rPr>
            <w:t>524 32 18</w:t>
          </w:r>
        </w:p>
        <w:p w:rsidR="004B5203" w:rsidRDefault="004B5203">
          <w:pPr>
            <w:pStyle w:val="FootnoteText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  <w:p w:rsidR="00720EF0" w:rsidRDefault="00720EF0">
          <w:pPr>
            <w:pStyle w:val="FootnoteText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</w:tbl>
  <w:p w:rsidR="00720EF0" w:rsidRDefault="00B92FA9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1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37EEDB" id="Rectangle 37" o:spid="_x0000_s1026" style="position:absolute;margin-left:375.7pt;margin-top:-17.1pt;width:113.3pt;height:3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TerQIAAKYFAAAOAAAAZHJzL2Uyb0RvYy54bWysVG1v0zAQ/o7Ef7D8PcvL3DaJlk5b0yCk&#10;ARODH+AmTmOR2MF2mw7Ef+fstF3bfUFAIll+Od89d8/ju7nddS3aMqW5FBkOrwKMmChlxcU6w1+/&#10;FF6MkTZUVLSVgmX4mWl8O3/75mboUxbJRrYVUwicCJ0OfYYbY/rU93XZsI7qK9kzAYe1VB01sFRr&#10;v1J0AO9d60dBMPUHqapeyZJpDbv5eIjnzn9ds9J8qmvNDGozDNiMG5UbV3b05zc0XSvaN7zcw6B/&#10;gaKjXEDQo6ucGoo2ir9y1fFSSS1rc1XKzpd1zUvmcoBswuAim6eG9szlAsXR/bFM+v+5LT9uHxXi&#10;FXCHkaAdUPQZikbFumXoembrM/Q6BbOn/lHZDHX/IMtvGgm5aMCM3Sklh4bRClCF1t4/u2AXGq6i&#10;1fBBVuCebox0pdrVqrMOoQho5xh5PjLCdgaVsBmS6zgJgbgSzshkCr8LQdPD7V5p847JDtlJhhWA&#10;d97p9kEbi4amBxMbTMiCt61jvRVnG2A47kBsuGrPLApH4s8kSJbxMiYeiaZLjwR57t0VC+JNi3A2&#10;ya/zxSIPf9m4IUkbXlVM2DAHQYXkzwjbS3uUwlFSWra8su4sJK3Wq0Wr0JaCoAv37QtyYuafw3BF&#10;gFwuUgojEtxHiVdM45lHCjLxklkQe0GY3CfTgCQkL85TeuCC/XtKaMhwMokmjqUT0Be5Be57nRtN&#10;O26gZbS8y3B8NKKpleBSVI5aQ3k7zk9KYeG/lALoPhDtBGs1Omp9Jatn0KuSICdQHjQ3mDRS/cBo&#10;gEaRYf19QxXDqH0vQPNJSIjtLG5BJrMIFur0ZHV6QkUJrjJsMBqnCzN2o02v+LqBSKErjJB38E5q&#10;7iRs39CIav+6oBm4TPaNy3ab07Wzemmv898A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BVMPTerQIAAKYFAAAO&#10;AAAAAAAAAAAAAAAAAC4CAABkcnMvZTJvRG9jLnhtbFBLAQItABQABgAIAAAAIQAOr3at4wAAAAoB&#10;AAAPAAAAAAAAAAAAAAAAAAcFAABkcnMvZG93bnJldi54bWxQSwUGAAAAAAQABADzAAAAFwYAAAAA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F05" w:rsidRDefault="00A84F05">
      <w:r>
        <w:separator/>
      </w:r>
    </w:p>
  </w:footnote>
  <w:footnote w:type="continuationSeparator" w:id="0">
    <w:p w:rsidR="00A84F05" w:rsidRDefault="00A84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EF0" w:rsidRDefault="00720EF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0EF0" w:rsidRDefault="00720EF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EF0" w:rsidRDefault="00B92FA9">
    <w:pPr>
      <w:pStyle w:val="Header"/>
      <w:tabs>
        <w:tab w:val="clear" w:pos="8504"/>
      </w:tabs>
      <w:ind w:right="-87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6041390</wp:posOffset>
              </wp:positionH>
              <wp:positionV relativeFrom="paragraph">
                <wp:posOffset>823595</wp:posOffset>
              </wp:positionV>
              <wp:extent cx="868680" cy="0"/>
              <wp:effectExtent l="0" t="0" r="0" b="0"/>
              <wp:wrapNone/>
              <wp:docPr id="3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8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463557" id="Line 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7pt,64.85pt" to="544.1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DvtEQIAACg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rMRPGCnS&#10;gURboTiaLkJreuMKiKjUzobi6Fm9mK2m3x1SumqJOvBI8fViIC8LGcmblLBxBg7Y9581gxhy9Dr2&#10;6dzYLkBCB9A5ynG5y8HPHlH4OZ/BC6LRwZWQYsgz1vlPXHcoGCWWwDniktPW+cCDFENIOEbpjZAy&#10;ii0V6ku8mE6mMcFpKVhwhjBnD/tKWnQiYVziE4sCz2OY1UfFIljLCVvfbE+EvNpwuFQBDyoBOjfr&#10;Og8/FuliPV/P81E+ma1HeVrXo4+bKh/NNtmHaf1UV1Wd/QzUsrxoBWNcBXbDbGb532l/uyXXqbpP&#10;570NyVv02C8gO3wj6ShlUO86B3vNLjs7SAzjGINvVyfM++Me7McLvvoFAAD//wMAUEsDBBQABgAI&#10;AAAAIQCL78/H3wAAAAwBAAAPAAAAZHJzL2Rvd25yZXYueG1sTI/BTsMwDIbvSLxDZCQu05aswOhK&#10;0wkBve3CAHH1GtNWNE7XZFvh6ckkJDja/6ffn/PVaDtxoMG3jjXMZwoEceVMy7WG15dymoLwAdlg&#10;55g0fJGHVXF+lmNm3JGf6bAJtYgl7DPU0ITQZ1L6qiGLfuZ64ph9uMFiiONQSzPgMZbbTiZKLaTF&#10;luOFBnt6aKj63OytBl++0a78nlQT9X5VO0p2j+sn1PryYry/AxFoDH8wnPSjOhTRaev2bLzoNCxv&#10;5tcRjUGyvAVxIlSaJiC2vytZ5PL/E8UPAAAA//8DAFBLAQItABQABgAIAAAAIQC2gziS/gAAAOEB&#10;AAATAAAAAAAAAAAAAAAAAAAAAABbQ29udGVudF9UeXBlc10ueG1sUEsBAi0AFAAGAAgAAAAhADj9&#10;If/WAAAAlAEAAAsAAAAAAAAAAAAAAAAALwEAAF9yZWxzLy5yZWxzUEsBAi0AFAAGAAgAAAAhAHYc&#10;O+0RAgAAKAQAAA4AAAAAAAAAAAAAAAAALgIAAGRycy9lMm9Eb2MueG1sUEsBAi0AFAAGAAgAAAAh&#10;AIvvz8ffAAAADAEAAA8AAAAAAAAAAAAAAAAAawQAAGRycy9kb3ducmV2LnhtbFBLBQYAAAAABAAE&#10;APMAAAB3BQAAAAA=&#10;"/>
          </w:pict>
        </mc:Fallback>
      </mc:AlternateContent>
    </w:r>
    <w:r>
      <w:rPr>
        <w:noProof/>
        <w:lang w:val="en-GB" w:eastAsia="en-GB"/>
      </w:rPr>
      <w:drawing>
        <wp:inline distT="0" distB="0" distL="0" distR="0">
          <wp:extent cx="838200" cy="8763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EF0" w:rsidRDefault="00720EF0">
    <w:pPr>
      <w:ind w:right="-1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722FC2"/>
    <w:multiLevelType w:val="hybridMultilevel"/>
    <w:tmpl w:val="06CC0C9E"/>
    <w:lvl w:ilvl="0" w:tplc="763E8F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E456E"/>
    <w:multiLevelType w:val="hybridMultilevel"/>
    <w:tmpl w:val="0C160136"/>
    <w:lvl w:ilvl="0" w:tplc="9BE66B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9736DF7"/>
    <w:multiLevelType w:val="hybridMultilevel"/>
    <w:tmpl w:val="EDC40E1E"/>
    <w:lvl w:ilvl="0" w:tplc="0C0A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4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9" w15:restartNumberingAfterBreak="0">
    <w:nsid w:val="5269509E"/>
    <w:multiLevelType w:val="hybridMultilevel"/>
    <w:tmpl w:val="04A0C29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0">
    <w:nsid w:val="6BD92659"/>
    <w:multiLevelType w:val="hybridMultilevel"/>
    <w:tmpl w:val="6D82A56E"/>
    <w:lvl w:ilvl="0" w:tplc="58FA0B86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EE31FC4"/>
    <w:multiLevelType w:val="hybridMultilevel"/>
    <w:tmpl w:val="7688D3D8"/>
    <w:lvl w:ilvl="0" w:tplc="980A4244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20"/>
  </w:num>
  <w:num w:numId="6">
    <w:abstractNumId w:val="2"/>
  </w:num>
  <w:num w:numId="7">
    <w:abstractNumId w:val="15"/>
  </w:num>
  <w:num w:numId="8">
    <w:abstractNumId w:val="23"/>
  </w:num>
  <w:num w:numId="9">
    <w:abstractNumId w:val="3"/>
  </w:num>
  <w:num w:numId="10">
    <w:abstractNumId w:val="4"/>
  </w:num>
  <w:num w:numId="11">
    <w:abstractNumId w:val="17"/>
  </w:num>
  <w:num w:numId="12">
    <w:abstractNumId w:val="11"/>
  </w:num>
  <w:num w:numId="13">
    <w:abstractNumId w:val="8"/>
  </w:num>
  <w:num w:numId="14">
    <w:abstractNumId w:val="22"/>
  </w:num>
  <w:num w:numId="15">
    <w:abstractNumId w:val="1"/>
  </w:num>
  <w:num w:numId="16">
    <w:abstractNumId w:val="9"/>
  </w:num>
  <w:num w:numId="17">
    <w:abstractNumId w:val="16"/>
  </w:num>
  <w:num w:numId="18">
    <w:abstractNumId w:val="5"/>
  </w:num>
  <w:num w:numId="19">
    <w:abstractNumId w:val="10"/>
  </w:num>
  <w:num w:numId="20">
    <w:abstractNumId w:val="14"/>
  </w:num>
  <w:num w:numId="21">
    <w:abstractNumId w:val="12"/>
  </w:num>
  <w:num w:numId="22">
    <w:abstractNumId w:val="7"/>
  </w:num>
  <w:num w:numId="23">
    <w:abstractNumId w:val="21"/>
  </w:num>
  <w:num w:numId="24">
    <w:abstractNumId w:val="24"/>
  </w:num>
  <w:num w:numId="25">
    <w:abstractNumId w:val="6"/>
  </w:num>
  <w:num w:numId="26">
    <w:abstractNumId w:val="1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92FA9"/>
    <w:rsid w:val="000C5056"/>
    <w:rsid w:val="000F75BB"/>
    <w:rsid w:val="001848BC"/>
    <w:rsid w:val="001D397E"/>
    <w:rsid w:val="0031466F"/>
    <w:rsid w:val="003F557E"/>
    <w:rsid w:val="004B5203"/>
    <w:rsid w:val="004E0999"/>
    <w:rsid w:val="00531165"/>
    <w:rsid w:val="00555C65"/>
    <w:rsid w:val="00670BCF"/>
    <w:rsid w:val="006E231C"/>
    <w:rsid w:val="006E2BB8"/>
    <w:rsid w:val="00712398"/>
    <w:rsid w:val="00720EF0"/>
    <w:rsid w:val="008F252F"/>
    <w:rsid w:val="00A119B9"/>
    <w:rsid w:val="00A84F05"/>
    <w:rsid w:val="00A910BC"/>
    <w:rsid w:val="00AC34D9"/>
    <w:rsid w:val="00AD09D2"/>
    <w:rsid w:val="00B46BEC"/>
    <w:rsid w:val="00B92FA9"/>
    <w:rsid w:val="00C60D22"/>
    <w:rsid w:val="00C82A0A"/>
    <w:rsid w:val="00CC2B53"/>
    <w:rsid w:val="00CC3FF7"/>
    <w:rsid w:val="00D427D3"/>
    <w:rsid w:val="00DE3D07"/>
    <w:rsid w:val="00E074DA"/>
    <w:rsid w:val="00E46E8C"/>
    <w:rsid w:val="00E814C3"/>
    <w:rsid w:val="00ED303F"/>
    <w:rsid w:val="00F04069"/>
    <w:rsid w:val="00F059A8"/>
    <w:rsid w:val="00F4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C8765B4F-ECE3-40C2-A3B5-E1CE62A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39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39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link w:val="FootnoteTextChar"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semiHidden/>
    <w:pPr>
      <w:jc w:val="center"/>
    </w:pPr>
    <w:rPr>
      <w:rFonts w:ascii="Arial" w:hAnsi="Arial"/>
      <w:b/>
      <w:sz w:val="28"/>
    </w:rPr>
  </w:style>
  <w:style w:type="paragraph" w:styleId="BodyTextIndent">
    <w:name w:val="Body Text Indent"/>
    <w:basedOn w:val="Normal"/>
    <w:semiHidden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8"/>
    </w:rPr>
  </w:style>
  <w:style w:type="paragraph" w:styleId="BodyText3">
    <w:name w:val="Body Text 3"/>
    <w:basedOn w:val="Normal"/>
    <w:semiHidden/>
    <w:pPr>
      <w:spacing w:line="312" w:lineRule="auto"/>
      <w:jc w:val="both"/>
    </w:pPr>
    <w:rPr>
      <w:rFonts w:ascii="Arial" w:hAnsi="Arial"/>
      <w:b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ind w:left="284" w:right="566"/>
      <w:jc w:val="center"/>
    </w:pPr>
    <w:rPr>
      <w:b/>
      <w:sz w:val="32"/>
      <w:u w:val="single"/>
    </w:rPr>
  </w:style>
  <w:style w:type="paragraph" w:styleId="BodyTextIndent2">
    <w:name w:val="Body Text Indent 2"/>
    <w:basedOn w:val="Normal"/>
    <w:semiHidden/>
    <w:pPr>
      <w:ind w:left="851"/>
      <w:jc w:val="both"/>
    </w:pPr>
    <w:rPr>
      <w:b/>
      <w:sz w:val="24"/>
    </w:rPr>
  </w:style>
  <w:style w:type="paragraph" w:styleId="BodyTextIndent3">
    <w:name w:val="Body Text Indent 3"/>
    <w:basedOn w:val="Normal"/>
    <w:semiHidden/>
    <w:pPr>
      <w:ind w:left="284"/>
      <w:jc w:val="both"/>
    </w:pPr>
    <w:rPr>
      <w:sz w:val="24"/>
    </w:r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FootnoteTextChar">
    <w:name w:val="Footnote Text Char"/>
    <w:link w:val="FootnoteText"/>
    <w:semiHidden/>
    <w:rsid w:val="00555C65"/>
    <w:rPr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B53"/>
    <w:rPr>
      <w:rFonts w:ascii="Tahoma" w:hAnsi="Tahoma" w:cs="Tahoma"/>
      <w:sz w:val="16"/>
      <w:szCs w:val="16"/>
      <w:lang w:val="es-ES_tradnl"/>
    </w:rPr>
  </w:style>
  <w:style w:type="paragraph" w:styleId="ListParagraph">
    <w:name w:val="List Paragraph"/>
    <w:basedOn w:val="Normal"/>
    <w:uiPriority w:val="34"/>
    <w:qFormat/>
    <w:rsid w:val="007123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397E"/>
    <w:rPr>
      <w:rFonts w:asciiTheme="majorHAnsi" w:eastAsiaTheme="majorEastAsia" w:hAnsiTheme="majorHAnsi" w:cstheme="majorBidi"/>
      <w:b/>
      <w:bCs/>
      <w:i/>
      <w:iCs/>
      <w:color w:val="4F81BD" w:themeColor="accent1"/>
      <w:lang w:val="es-ES_trad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97E"/>
    <w:rPr>
      <w:rFonts w:asciiTheme="majorHAnsi" w:eastAsiaTheme="majorEastAsia" w:hAnsiTheme="majorHAnsi" w:cstheme="majorBidi"/>
      <w:i/>
      <w:iCs/>
      <w:color w:val="243F60" w:themeColor="accent1" w:themeShade="7F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abmin.igualdad@igualdad.gob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0A3A3-21F3-423F-90EC-AFC20D97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3962</Characters>
  <Application>Microsoft Office Word</Application>
  <DocSecurity>4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4661</CharactersWithSpaces>
  <SharedDoc>false</SharedDoc>
  <HLinks>
    <vt:vector size="6" baseType="variant">
      <vt:variant>
        <vt:i4>852017</vt:i4>
      </vt:variant>
      <vt:variant>
        <vt:i4>4</vt:i4>
      </vt:variant>
      <vt:variant>
        <vt:i4>0</vt:i4>
      </vt:variant>
      <vt:variant>
        <vt:i4>5</vt:i4>
      </vt:variant>
      <vt:variant>
        <vt:lpwstr>mailto:bzgabsei@mpr.es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Silvia Ruiz Gárate</dc:creator>
  <cp:lastModifiedBy>BIELSKA DECUGNIERE Agnieszka (JUST)</cp:lastModifiedBy>
  <cp:revision>2</cp:revision>
  <cp:lastPrinted>2003-08-25T12:36:00Z</cp:lastPrinted>
  <dcterms:created xsi:type="dcterms:W3CDTF">2022-11-28T08:23:00Z</dcterms:created>
  <dcterms:modified xsi:type="dcterms:W3CDTF">2022-11-28T08:23:00Z</dcterms:modified>
</cp:coreProperties>
</file>